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747" w:rsidRPr="009B24D1" w:rsidRDefault="00B01747" w:rsidP="00B01747">
      <w:pPr>
        <w:rPr>
          <w:rFonts w:ascii="Century Gothic" w:hAnsi="Century Gothic"/>
        </w:rPr>
      </w:pPr>
    </w:p>
    <w:p w:rsidR="00B01747" w:rsidRPr="009B24D1" w:rsidRDefault="00B01747" w:rsidP="00B01747">
      <w:pPr>
        <w:rPr>
          <w:rFonts w:ascii="Century Gothic" w:hAnsi="Century Gothic"/>
        </w:rPr>
      </w:pPr>
    </w:p>
    <w:p w:rsidR="00B01747" w:rsidRPr="009B24D1" w:rsidRDefault="00B01747" w:rsidP="00B01747">
      <w:pPr>
        <w:jc w:val="center"/>
        <w:rPr>
          <w:rFonts w:ascii="Century Gothic" w:hAnsi="Century Gothic"/>
          <w:b/>
          <w:color w:val="000000" w:themeColor="text1"/>
          <w:u w:val="single"/>
        </w:rPr>
      </w:pPr>
      <w:r w:rsidRPr="009B24D1">
        <w:rPr>
          <w:rFonts w:ascii="Century Gothic" w:hAnsi="Century Gothic"/>
          <w:b/>
          <w:color w:val="000000" w:themeColor="text1"/>
          <w:u w:val="single"/>
        </w:rPr>
        <w:t>NOTA TÉCNICA JURÍDICA PREVIDENCIÁRIA</w:t>
      </w:r>
      <w:r w:rsidR="009B24D1" w:rsidRPr="009B24D1">
        <w:rPr>
          <w:rFonts w:ascii="Century Gothic" w:hAnsi="Century Gothic"/>
          <w:b/>
          <w:color w:val="000000" w:themeColor="text1"/>
          <w:u w:val="single"/>
        </w:rPr>
        <w:t xml:space="preserve"> Nº 01/2019</w:t>
      </w:r>
    </w:p>
    <w:p w:rsidR="00B01747" w:rsidRPr="009B24D1" w:rsidRDefault="00B01747" w:rsidP="00B01747">
      <w:pPr>
        <w:ind w:left="3540"/>
        <w:jc w:val="both"/>
        <w:rPr>
          <w:rFonts w:ascii="Century Gothic" w:hAnsi="Century Gothic"/>
          <w:color w:val="000000" w:themeColor="text1"/>
        </w:rPr>
      </w:pPr>
    </w:p>
    <w:p w:rsidR="00B01747" w:rsidRPr="009B24D1" w:rsidRDefault="00B01747" w:rsidP="00B01747">
      <w:pPr>
        <w:ind w:left="3540"/>
        <w:jc w:val="both"/>
        <w:rPr>
          <w:rFonts w:ascii="Century Gothic" w:hAnsi="Century Gothic"/>
          <w:color w:val="000000" w:themeColor="text1"/>
        </w:rPr>
      </w:pPr>
    </w:p>
    <w:p w:rsidR="00B01747" w:rsidRPr="009B24D1" w:rsidRDefault="00B01747" w:rsidP="00B01747">
      <w:pPr>
        <w:jc w:val="both"/>
        <w:rPr>
          <w:rFonts w:ascii="Century Gothic" w:hAnsi="Century Gothic"/>
          <w:color w:val="000000" w:themeColor="text1"/>
        </w:rPr>
      </w:pPr>
      <w:r w:rsidRPr="009B24D1">
        <w:rPr>
          <w:rFonts w:ascii="Century Gothic" w:hAnsi="Century Gothic"/>
          <w:b/>
          <w:color w:val="000000" w:themeColor="text1"/>
        </w:rPr>
        <w:t xml:space="preserve">Assunto: </w:t>
      </w:r>
      <w:r w:rsidRPr="009B24D1">
        <w:rPr>
          <w:rFonts w:ascii="Century Gothic" w:hAnsi="Century Gothic"/>
          <w:color w:val="000000" w:themeColor="text1"/>
        </w:rPr>
        <w:t>Acumulação de dois cargos ou empregos priva</w:t>
      </w:r>
      <w:r w:rsidR="00A467AC">
        <w:rPr>
          <w:rFonts w:ascii="Century Gothic" w:hAnsi="Century Gothic"/>
          <w:color w:val="000000" w:themeColor="text1"/>
        </w:rPr>
        <w:t>tivos de profissionais de saúde</w:t>
      </w:r>
      <w:r w:rsidRPr="009B24D1">
        <w:rPr>
          <w:rFonts w:ascii="Century Gothic" w:hAnsi="Century Gothic"/>
          <w:color w:val="000000" w:themeColor="text1"/>
        </w:rPr>
        <w:t xml:space="preserve"> com profissões regulamentadas.</w:t>
      </w:r>
    </w:p>
    <w:p w:rsidR="00B01747" w:rsidRPr="009B24D1" w:rsidRDefault="00B01747" w:rsidP="00B01747">
      <w:pPr>
        <w:jc w:val="both"/>
        <w:rPr>
          <w:rFonts w:ascii="Century Gothic" w:hAnsi="Century Gothic"/>
          <w:color w:val="000000" w:themeColor="text1"/>
        </w:rPr>
      </w:pPr>
    </w:p>
    <w:p w:rsidR="00B01747" w:rsidRPr="009B24D1" w:rsidRDefault="00B01747" w:rsidP="00B01747">
      <w:pPr>
        <w:jc w:val="both"/>
        <w:rPr>
          <w:rFonts w:ascii="Century Gothic" w:hAnsi="Century Gothic"/>
          <w:color w:val="000000" w:themeColor="text1"/>
        </w:rPr>
      </w:pPr>
    </w:p>
    <w:p w:rsidR="009B24D1" w:rsidRPr="009B24D1" w:rsidRDefault="009B24D1" w:rsidP="009B24D1">
      <w:pPr>
        <w:shd w:val="clear" w:color="auto" w:fill="FFFFFF"/>
        <w:spacing w:line="360" w:lineRule="auto"/>
        <w:jc w:val="both"/>
        <w:rPr>
          <w:rFonts w:ascii="Century Gothic" w:hAnsi="Century Gothic"/>
          <w:color w:val="000000"/>
        </w:rPr>
      </w:pPr>
      <w:r w:rsidRPr="009B24D1">
        <w:rPr>
          <w:rFonts w:ascii="Century Gothic" w:hAnsi="Century Gothic"/>
          <w:color w:val="000000"/>
        </w:rPr>
        <w:t>Questão que sucessivamente tem sido trazida para manifestação dessa Procuradoria Autárquica é aquela que envolve aqueles servidores que ocupam dois cargos ou empregos privativos de profissional de saúde</w:t>
      </w:r>
      <w:r w:rsidR="00A467AC">
        <w:rPr>
          <w:rFonts w:ascii="Century Gothic" w:hAnsi="Century Gothic"/>
          <w:color w:val="000000"/>
        </w:rPr>
        <w:t xml:space="preserve"> com profissões regulamentadas</w:t>
      </w:r>
      <w:r w:rsidRPr="009B24D1">
        <w:rPr>
          <w:rFonts w:ascii="Century Gothic" w:hAnsi="Century Gothic"/>
          <w:color w:val="000000"/>
        </w:rPr>
        <w:t>, cuja posse em um ou em ambos se deu antes da vigência da Emenda Constitucional 34/2001.</w:t>
      </w:r>
    </w:p>
    <w:p w:rsidR="009B24D1" w:rsidRPr="009B24D1" w:rsidRDefault="009B24D1" w:rsidP="009B24D1">
      <w:pPr>
        <w:shd w:val="clear" w:color="auto" w:fill="FFFFFF"/>
        <w:spacing w:line="360" w:lineRule="auto"/>
        <w:jc w:val="both"/>
        <w:rPr>
          <w:rFonts w:ascii="Century Gothic" w:hAnsi="Century Gothic"/>
          <w:color w:val="000000"/>
        </w:rPr>
      </w:pPr>
    </w:p>
    <w:p w:rsidR="009B24D1" w:rsidRPr="009B24D1" w:rsidRDefault="009B24D1" w:rsidP="009B24D1">
      <w:pPr>
        <w:shd w:val="clear" w:color="auto" w:fill="FFFFFF"/>
        <w:spacing w:line="360" w:lineRule="auto"/>
        <w:jc w:val="both"/>
        <w:rPr>
          <w:rFonts w:ascii="Century Gothic" w:hAnsi="Century Gothic"/>
          <w:color w:val="000000"/>
        </w:rPr>
      </w:pPr>
      <w:r w:rsidRPr="009B24D1">
        <w:rPr>
          <w:rFonts w:ascii="Century Gothic" w:hAnsi="Century Gothic"/>
        </w:rPr>
        <w:t>Por isso que a aplicação do art. 37, XVI, c, da Constituição Federal será o objeto de análise nesta desta Nota Técnica, por meio da qual ocuparemos em emitir nossa manifestação quanto à sua aplicação, inclusive aos casos de servidores que ingressaram no serviço público antes da vigência da citada Emenda.</w:t>
      </w:r>
    </w:p>
    <w:p w:rsidR="009B24D1" w:rsidRDefault="009B24D1" w:rsidP="00B01747">
      <w:pPr>
        <w:spacing w:line="360" w:lineRule="auto"/>
        <w:jc w:val="both"/>
        <w:rPr>
          <w:rFonts w:ascii="Century Gothic" w:hAnsi="Century Gothic"/>
          <w:color w:val="000000" w:themeColor="text1"/>
        </w:rPr>
      </w:pPr>
    </w:p>
    <w:p w:rsidR="00B01747" w:rsidRPr="009B24D1" w:rsidRDefault="009B24D1" w:rsidP="00B01747">
      <w:pPr>
        <w:spacing w:line="360" w:lineRule="auto"/>
        <w:jc w:val="both"/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>Pois bem, a</w:t>
      </w:r>
      <w:r w:rsidR="00B01747" w:rsidRPr="009B24D1">
        <w:rPr>
          <w:rFonts w:ascii="Century Gothic" w:hAnsi="Century Gothic"/>
          <w:color w:val="000000" w:themeColor="text1"/>
        </w:rPr>
        <w:t xml:space="preserve"> regra geral prevista na Constituição Federal sempre foi da impossibilidade de acumulação remunerada de cargos empregos e funções da Administração direta, autarquias, empresas públicas, sociedades de economia mista e fundações, ressalvadas as exceções expressas no inciso XVI do artigo 37 da Lei Maior.</w:t>
      </w:r>
    </w:p>
    <w:p w:rsidR="00B01747" w:rsidRPr="009B24D1" w:rsidRDefault="00B01747" w:rsidP="00B01747">
      <w:pPr>
        <w:spacing w:line="360" w:lineRule="auto"/>
        <w:jc w:val="both"/>
        <w:rPr>
          <w:rFonts w:ascii="Century Gothic" w:hAnsi="Century Gothic"/>
          <w:color w:val="000000" w:themeColor="text1"/>
        </w:rPr>
      </w:pPr>
    </w:p>
    <w:p w:rsidR="00B01747" w:rsidRPr="009B24D1" w:rsidRDefault="00B01747" w:rsidP="00B01747">
      <w:pPr>
        <w:spacing w:line="360" w:lineRule="auto"/>
        <w:jc w:val="both"/>
        <w:rPr>
          <w:rFonts w:ascii="Century Gothic" w:hAnsi="Century Gothic"/>
          <w:color w:val="000000" w:themeColor="text1"/>
        </w:rPr>
      </w:pPr>
      <w:r w:rsidRPr="009B24D1">
        <w:rPr>
          <w:rFonts w:ascii="Century Gothic" w:hAnsi="Century Gothic"/>
          <w:color w:val="000000" w:themeColor="text1"/>
        </w:rPr>
        <w:t>Antes da Emenda Constitucional 34/2001, o privilégio de poder acumular dois cargos públicos era privativo de dois cargos de médicos, de dois professores, de um de professor com um cargo de técnico ou científico. Com a publicação da citada emenda, todos os profissionais da saúde, desde que exerçam profissões regulamentadas passaram a fazer jus àquele benefício, bastando que haja compatibilidade de horários.</w:t>
      </w:r>
    </w:p>
    <w:p w:rsidR="00B01747" w:rsidRPr="009B24D1" w:rsidRDefault="00B01747" w:rsidP="00B01747">
      <w:pPr>
        <w:spacing w:line="360" w:lineRule="auto"/>
        <w:jc w:val="both"/>
        <w:rPr>
          <w:rFonts w:ascii="Century Gothic" w:hAnsi="Century Gothic"/>
          <w:color w:val="000000" w:themeColor="text1"/>
        </w:rPr>
      </w:pPr>
    </w:p>
    <w:p w:rsidR="00B01747" w:rsidRPr="009B24D1" w:rsidRDefault="00B01747" w:rsidP="00B01747">
      <w:pPr>
        <w:spacing w:line="360" w:lineRule="auto"/>
        <w:jc w:val="both"/>
        <w:rPr>
          <w:rFonts w:ascii="Century Gothic" w:hAnsi="Century Gothic"/>
          <w:color w:val="000000" w:themeColor="text1"/>
        </w:rPr>
      </w:pPr>
      <w:r w:rsidRPr="009B24D1">
        <w:rPr>
          <w:rFonts w:ascii="Century Gothic" w:hAnsi="Century Gothic"/>
          <w:color w:val="000000" w:themeColor="text1"/>
        </w:rPr>
        <w:lastRenderedPageBreak/>
        <w:t>Neste sentido, dispõe o artigo 37, inciso XVI, alínea “c”, com as alterações da Emenda Constitucional 34/2001:</w:t>
      </w:r>
    </w:p>
    <w:p w:rsidR="00B01747" w:rsidRPr="009B24D1" w:rsidRDefault="00B01747" w:rsidP="00B01747">
      <w:pPr>
        <w:spacing w:line="360" w:lineRule="auto"/>
        <w:jc w:val="both"/>
        <w:rPr>
          <w:rFonts w:ascii="Century Gothic" w:hAnsi="Century Gothic"/>
          <w:color w:val="000000" w:themeColor="text1"/>
        </w:rPr>
      </w:pPr>
    </w:p>
    <w:p w:rsidR="00B01747" w:rsidRPr="009B24D1" w:rsidRDefault="00B01747" w:rsidP="00B01747">
      <w:pPr>
        <w:ind w:left="1416"/>
        <w:jc w:val="both"/>
        <w:rPr>
          <w:rFonts w:ascii="Century Gothic" w:hAnsi="Century Gothic"/>
          <w:i/>
          <w:color w:val="000000" w:themeColor="text1"/>
        </w:rPr>
      </w:pPr>
      <w:r w:rsidRPr="009B24D1">
        <w:rPr>
          <w:rFonts w:ascii="Century Gothic" w:hAnsi="Century Gothic"/>
          <w:i/>
          <w:color w:val="000000" w:themeColor="text1"/>
        </w:rPr>
        <w:t>Art. 37 (...)</w:t>
      </w:r>
    </w:p>
    <w:p w:rsidR="00B01747" w:rsidRPr="009B24D1" w:rsidRDefault="00B01747" w:rsidP="00B01747">
      <w:pPr>
        <w:ind w:left="1416"/>
        <w:jc w:val="both"/>
        <w:rPr>
          <w:rFonts w:ascii="Century Gothic" w:hAnsi="Century Gothic"/>
          <w:i/>
          <w:color w:val="000000" w:themeColor="text1"/>
        </w:rPr>
      </w:pPr>
    </w:p>
    <w:p w:rsidR="00B01747" w:rsidRPr="009B24D1" w:rsidRDefault="00B01747" w:rsidP="00B01747">
      <w:pPr>
        <w:ind w:left="1416"/>
        <w:jc w:val="both"/>
        <w:rPr>
          <w:rFonts w:ascii="Century Gothic" w:hAnsi="Century Gothic"/>
          <w:i/>
          <w:color w:val="000000" w:themeColor="text1"/>
        </w:rPr>
      </w:pPr>
      <w:r w:rsidRPr="009B24D1">
        <w:rPr>
          <w:rFonts w:ascii="Century Gothic" w:hAnsi="Century Gothic"/>
          <w:i/>
          <w:color w:val="000000" w:themeColor="text1"/>
        </w:rPr>
        <w:t>XVI - é vedada a acumulação remunerada de cargos públicos, exceto, quando houver compatibilidade de horários, observando em qualquer caso o disposto no inciso XI:</w:t>
      </w:r>
    </w:p>
    <w:p w:rsidR="00B01747" w:rsidRPr="009B24D1" w:rsidRDefault="00B01747" w:rsidP="00B01747">
      <w:pPr>
        <w:ind w:left="1416"/>
        <w:jc w:val="both"/>
        <w:rPr>
          <w:rFonts w:ascii="Century Gothic" w:hAnsi="Century Gothic"/>
          <w:i/>
          <w:color w:val="000000" w:themeColor="text1"/>
        </w:rPr>
      </w:pPr>
    </w:p>
    <w:p w:rsidR="00B01747" w:rsidRPr="009B24D1" w:rsidRDefault="00B01747" w:rsidP="00B01747">
      <w:pPr>
        <w:ind w:left="1416"/>
        <w:jc w:val="both"/>
        <w:rPr>
          <w:rFonts w:ascii="Century Gothic" w:hAnsi="Century Gothic"/>
          <w:i/>
          <w:color w:val="000000" w:themeColor="text1"/>
        </w:rPr>
      </w:pPr>
      <w:r w:rsidRPr="009B24D1">
        <w:rPr>
          <w:rFonts w:ascii="Century Gothic" w:hAnsi="Century Gothic"/>
          <w:i/>
          <w:color w:val="000000" w:themeColor="text1"/>
        </w:rPr>
        <w:t>a) a de dois cargos de professor;</w:t>
      </w:r>
    </w:p>
    <w:p w:rsidR="00B01747" w:rsidRPr="009B24D1" w:rsidRDefault="00B01747" w:rsidP="00B01747">
      <w:pPr>
        <w:ind w:left="1416"/>
        <w:jc w:val="both"/>
        <w:rPr>
          <w:rFonts w:ascii="Century Gothic" w:hAnsi="Century Gothic"/>
          <w:i/>
          <w:color w:val="000000" w:themeColor="text1"/>
        </w:rPr>
      </w:pPr>
    </w:p>
    <w:p w:rsidR="00B01747" w:rsidRPr="009B24D1" w:rsidRDefault="00B01747" w:rsidP="00B01747">
      <w:pPr>
        <w:ind w:left="1416"/>
        <w:jc w:val="both"/>
        <w:rPr>
          <w:rFonts w:ascii="Century Gothic" w:hAnsi="Century Gothic"/>
          <w:i/>
          <w:color w:val="000000" w:themeColor="text1"/>
        </w:rPr>
      </w:pPr>
      <w:r w:rsidRPr="009B24D1">
        <w:rPr>
          <w:rFonts w:ascii="Century Gothic" w:hAnsi="Century Gothic"/>
          <w:i/>
          <w:color w:val="000000" w:themeColor="text1"/>
        </w:rPr>
        <w:t>b) a de um cargo de professor com outro, técnico ou científico;</w:t>
      </w:r>
    </w:p>
    <w:p w:rsidR="00B01747" w:rsidRPr="009B24D1" w:rsidRDefault="00B01747" w:rsidP="00B01747">
      <w:pPr>
        <w:ind w:left="1416"/>
        <w:jc w:val="both"/>
        <w:rPr>
          <w:rFonts w:ascii="Century Gothic" w:hAnsi="Century Gothic"/>
          <w:i/>
          <w:color w:val="000000" w:themeColor="text1"/>
        </w:rPr>
      </w:pPr>
    </w:p>
    <w:p w:rsidR="00B01747" w:rsidRPr="009B24D1" w:rsidRDefault="00B01747" w:rsidP="00B01747">
      <w:pPr>
        <w:ind w:left="1416"/>
        <w:jc w:val="both"/>
        <w:rPr>
          <w:rFonts w:ascii="Century Gothic" w:hAnsi="Century Gothic"/>
          <w:i/>
          <w:color w:val="000000" w:themeColor="text1"/>
        </w:rPr>
      </w:pPr>
      <w:r w:rsidRPr="009B24D1">
        <w:rPr>
          <w:rFonts w:ascii="Century Gothic" w:hAnsi="Century Gothic"/>
          <w:i/>
          <w:color w:val="000000" w:themeColor="text1"/>
        </w:rPr>
        <w:t>c) a de dois cargos ou empregos privativos de profissionais de saúde, com profissões regulamentadas.</w:t>
      </w:r>
    </w:p>
    <w:p w:rsidR="00B01747" w:rsidRPr="009B24D1" w:rsidRDefault="00B01747" w:rsidP="00B01747">
      <w:pPr>
        <w:spacing w:line="360" w:lineRule="auto"/>
        <w:jc w:val="both"/>
        <w:rPr>
          <w:rFonts w:ascii="Century Gothic" w:hAnsi="Century Gothic"/>
          <w:color w:val="000000" w:themeColor="text1"/>
        </w:rPr>
      </w:pPr>
    </w:p>
    <w:p w:rsidR="00B01747" w:rsidRPr="009B24D1" w:rsidRDefault="00B01747" w:rsidP="00B01747">
      <w:pPr>
        <w:shd w:val="clear" w:color="auto" w:fill="FFFFFF"/>
        <w:spacing w:line="360" w:lineRule="auto"/>
        <w:jc w:val="both"/>
        <w:rPr>
          <w:rFonts w:ascii="Century Gothic" w:hAnsi="Century Gothic"/>
          <w:color w:val="000000"/>
        </w:rPr>
      </w:pPr>
    </w:p>
    <w:p w:rsidR="009B24D1" w:rsidRDefault="009B24D1" w:rsidP="00B01747">
      <w:pPr>
        <w:shd w:val="clear" w:color="auto" w:fill="FFFFFF"/>
        <w:spacing w:line="360" w:lineRule="auto"/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Ao</w:t>
      </w:r>
      <w:r w:rsidR="00B01747" w:rsidRPr="009B24D1">
        <w:rPr>
          <w:rFonts w:ascii="Century Gothic" w:hAnsi="Century Gothic"/>
          <w:color w:val="000000"/>
        </w:rPr>
        <w:t xml:space="preserve"> contrário do que parece, essa situação de permissibilidade de acumulação de cargos dos </w:t>
      </w:r>
      <w:r w:rsidR="00B01747" w:rsidRPr="009B24D1">
        <w:rPr>
          <w:rFonts w:ascii="Century Gothic" w:hAnsi="Century Gothic"/>
          <w:iCs/>
          <w:color w:val="000000"/>
        </w:rPr>
        <w:t>profissionais da saúde</w:t>
      </w:r>
      <w:r w:rsidR="00B01747" w:rsidRPr="009B24D1">
        <w:rPr>
          <w:rFonts w:ascii="Century Gothic" w:hAnsi="Century Gothic"/>
          <w:i/>
          <w:iCs/>
          <w:color w:val="000000"/>
        </w:rPr>
        <w:t>,</w:t>
      </w:r>
      <w:r w:rsidR="00B01747" w:rsidRPr="009B24D1">
        <w:rPr>
          <w:rFonts w:ascii="Century Gothic" w:hAnsi="Century Gothic"/>
          <w:color w:val="000000"/>
        </w:rPr>
        <w:t> não constitui um privilégio injustificado para conceder prestígio, mas que se justifica, sempre em face da contribuição e conhecimento a ser partilhado e do interesse publico a ser suprido, na busca de diminuir a carência de profissionais nos hospitais públicos e atender à população, principalmente à parcela que depende do Sistema Único de Saúde (SUS).</w:t>
      </w:r>
    </w:p>
    <w:p w:rsidR="00B01747" w:rsidRPr="009B24D1" w:rsidRDefault="00B01747" w:rsidP="00B01747">
      <w:pPr>
        <w:shd w:val="clear" w:color="auto" w:fill="FFFFFF"/>
        <w:spacing w:line="360" w:lineRule="auto"/>
        <w:jc w:val="both"/>
        <w:rPr>
          <w:rFonts w:ascii="Century Gothic" w:hAnsi="Century Gothic"/>
          <w:color w:val="000000"/>
        </w:rPr>
      </w:pPr>
      <w:r w:rsidRPr="009B24D1">
        <w:rPr>
          <w:rFonts w:ascii="Century Gothic" w:hAnsi="Century Gothic"/>
          <w:color w:val="000000"/>
        </w:rPr>
        <w:t> </w:t>
      </w:r>
    </w:p>
    <w:p w:rsidR="00B01747" w:rsidRPr="009B24D1" w:rsidRDefault="00B01747" w:rsidP="00B01747">
      <w:pPr>
        <w:shd w:val="clear" w:color="auto" w:fill="FFFFFF"/>
        <w:spacing w:line="360" w:lineRule="auto"/>
        <w:jc w:val="both"/>
        <w:rPr>
          <w:rFonts w:ascii="Century Gothic" w:hAnsi="Century Gothic"/>
          <w:color w:val="000000"/>
        </w:rPr>
      </w:pPr>
      <w:r w:rsidRPr="009B24D1">
        <w:rPr>
          <w:rFonts w:ascii="Century Gothic" w:hAnsi="Century Gothic"/>
          <w:color w:val="000000"/>
        </w:rPr>
        <w:t>Em se tratando de cargos destinados aos</w:t>
      </w:r>
      <w:r w:rsidRPr="009B24D1">
        <w:rPr>
          <w:rFonts w:ascii="Century Gothic" w:hAnsi="Century Gothic"/>
          <w:i/>
          <w:iCs/>
          <w:color w:val="000000"/>
        </w:rPr>
        <w:t> profissionais da saúde</w:t>
      </w:r>
      <w:r w:rsidRPr="009B24D1">
        <w:rPr>
          <w:rFonts w:ascii="Century Gothic" w:hAnsi="Century Gothic"/>
          <w:color w:val="000000"/>
        </w:rPr>
        <w:t>, o histórico da acumulação de cargos se desdobra em duas situações distintas, como seja:</w:t>
      </w:r>
      <w:proofErr w:type="gramStart"/>
      <w:r w:rsidRPr="009B24D1">
        <w:rPr>
          <w:rFonts w:ascii="Century Gothic" w:hAnsi="Century Gothic"/>
          <w:color w:val="000000"/>
        </w:rPr>
        <w:br/>
      </w:r>
      <w:proofErr w:type="gramEnd"/>
      <w:r w:rsidRPr="009B24D1">
        <w:rPr>
          <w:rFonts w:ascii="Century Gothic" w:hAnsi="Century Gothic"/>
          <w:color w:val="000000"/>
        </w:rPr>
        <w:t> </w:t>
      </w:r>
    </w:p>
    <w:p w:rsidR="00B01747" w:rsidRPr="009B24D1" w:rsidRDefault="00B01747" w:rsidP="00B01747">
      <w:pPr>
        <w:shd w:val="clear" w:color="auto" w:fill="FFFFFF"/>
        <w:spacing w:line="360" w:lineRule="auto"/>
        <w:ind w:left="708"/>
        <w:jc w:val="both"/>
        <w:rPr>
          <w:rFonts w:ascii="Century Gothic" w:hAnsi="Century Gothic"/>
          <w:color w:val="000000"/>
        </w:rPr>
      </w:pPr>
      <w:r w:rsidRPr="009B24D1">
        <w:rPr>
          <w:rFonts w:ascii="Century Gothic" w:hAnsi="Century Gothic"/>
          <w:color w:val="000000"/>
        </w:rPr>
        <w:t xml:space="preserve">1. Aqueles antigos, que antes da promulgação da Constituição Federal (05/10/1988) acumulavam dois cargos de médico ou dois cargos de profissionais de saúde, por lhes ser permitido pela revogada carta o que não mais veio a ocorrer com a nova </w:t>
      </w:r>
      <w:r w:rsidRPr="009B24D1">
        <w:rPr>
          <w:rFonts w:ascii="Century Gothic" w:hAnsi="Century Gothic"/>
          <w:color w:val="000000"/>
        </w:rPr>
        <w:lastRenderedPageBreak/>
        <w:t xml:space="preserve">ordem constitucional, porém, estes tiveram assegurado o direito na continuidade da acumulação dos referidos cargos, nos termos do art. 17 das </w:t>
      </w:r>
      <w:proofErr w:type="spellStart"/>
      <w:r w:rsidRPr="009B24D1">
        <w:rPr>
          <w:rFonts w:ascii="Century Gothic" w:hAnsi="Century Gothic"/>
          <w:color w:val="000000"/>
        </w:rPr>
        <w:t>ADCT’s</w:t>
      </w:r>
      <w:proofErr w:type="spellEnd"/>
      <w:r w:rsidRPr="009B24D1">
        <w:rPr>
          <w:rFonts w:ascii="Century Gothic" w:hAnsi="Century Gothic"/>
          <w:color w:val="000000"/>
        </w:rPr>
        <w:t>.</w:t>
      </w:r>
      <w:r w:rsidRPr="009B24D1">
        <w:rPr>
          <w:rFonts w:ascii="Century Gothic" w:hAnsi="Century Gothic"/>
          <w:color w:val="000000"/>
        </w:rPr>
        <w:br/>
        <w:t> </w:t>
      </w:r>
      <w:r w:rsidRPr="009B24D1">
        <w:rPr>
          <w:rFonts w:ascii="Century Gothic" w:hAnsi="Century Gothic"/>
          <w:color w:val="000000"/>
        </w:rPr>
        <w:br/>
        <w:t>2. Aqueles que não acumulavam cargos à época da promulgação da Constituição Federal ou até mesmo ainda não haviam ingressado ao serviço público, daí lhes ser proibido o acumulo, situação esta que perdurou até o advento da Emenda Constitucional nº 034/2001   (14/12/2001), quando passaram, também, a ter direito a acumulação de dois cargos de profissionais de saúde.</w:t>
      </w:r>
    </w:p>
    <w:p w:rsidR="00B01747" w:rsidRPr="009B24D1" w:rsidRDefault="00B01747" w:rsidP="00B01747">
      <w:pPr>
        <w:shd w:val="clear" w:color="auto" w:fill="FFFFFF"/>
        <w:spacing w:line="360" w:lineRule="auto"/>
        <w:rPr>
          <w:rFonts w:ascii="Century Gothic" w:hAnsi="Century Gothic"/>
          <w:color w:val="000000"/>
        </w:rPr>
      </w:pPr>
    </w:p>
    <w:p w:rsidR="00B01747" w:rsidRPr="009B24D1" w:rsidRDefault="00B01747" w:rsidP="00B01747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  <w:color w:val="000000" w:themeColor="text1"/>
        </w:rPr>
      </w:pPr>
      <w:r w:rsidRPr="009B24D1">
        <w:rPr>
          <w:rFonts w:ascii="Century Gothic" w:hAnsi="Century Gothic"/>
          <w:color w:val="000000" w:themeColor="text1"/>
        </w:rPr>
        <w:t xml:space="preserve">Por envolver interpretação de Norma Constitucional, tivemos o cuidado de reportarmos à jurisprudência do Supremo Tribunal Federal, no </w:t>
      </w:r>
      <w:r w:rsidRPr="009B24D1">
        <w:rPr>
          <w:rFonts w:ascii="Century Gothic" w:eastAsiaTheme="minorHAnsi" w:hAnsi="Century Gothic"/>
          <w:b/>
          <w:bCs/>
          <w:lang w:eastAsia="en-US"/>
        </w:rPr>
        <w:t xml:space="preserve">Recurso Extraordinário com Agravo 722.375 Rio de Janeiro da Relatoria do MIN. LUIZ FUX, </w:t>
      </w:r>
      <w:r w:rsidRPr="009B24D1">
        <w:rPr>
          <w:rFonts w:ascii="Century Gothic" w:hAnsi="Century Gothic"/>
          <w:color w:val="000000" w:themeColor="text1"/>
        </w:rPr>
        <w:t>que, analisando caso análogo, assentou o seguinte entendimento:</w:t>
      </w:r>
    </w:p>
    <w:p w:rsidR="00B01747" w:rsidRPr="009B24D1" w:rsidRDefault="00B01747" w:rsidP="00B01747">
      <w:pPr>
        <w:spacing w:line="360" w:lineRule="auto"/>
        <w:jc w:val="both"/>
        <w:rPr>
          <w:rFonts w:ascii="Century Gothic" w:hAnsi="Century Gothic"/>
          <w:color w:val="000000" w:themeColor="text1"/>
        </w:rPr>
      </w:pPr>
    </w:p>
    <w:p w:rsidR="00B01747" w:rsidRPr="009B24D1" w:rsidRDefault="00B01747" w:rsidP="00B01747">
      <w:pPr>
        <w:autoSpaceDE w:val="0"/>
        <w:autoSpaceDN w:val="0"/>
        <w:adjustRightInd w:val="0"/>
        <w:spacing w:line="360" w:lineRule="auto"/>
        <w:jc w:val="both"/>
        <w:rPr>
          <w:rFonts w:ascii="Century Gothic" w:eastAsiaTheme="minorHAnsi" w:hAnsi="Century Gothic"/>
          <w:i/>
          <w:lang w:eastAsia="en-US"/>
        </w:rPr>
      </w:pPr>
      <w:r w:rsidRPr="009B24D1">
        <w:rPr>
          <w:rFonts w:ascii="Century Gothic" w:eastAsiaTheme="minorHAnsi" w:hAnsi="Century Gothic"/>
          <w:i/>
          <w:lang w:eastAsia="en-US"/>
        </w:rPr>
        <w:t>(...)</w:t>
      </w:r>
    </w:p>
    <w:p w:rsidR="00B01747" w:rsidRPr="009B24D1" w:rsidRDefault="00B01747" w:rsidP="00B01747">
      <w:pPr>
        <w:autoSpaceDE w:val="0"/>
        <w:autoSpaceDN w:val="0"/>
        <w:adjustRightInd w:val="0"/>
        <w:spacing w:line="360" w:lineRule="auto"/>
        <w:jc w:val="both"/>
        <w:rPr>
          <w:rFonts w:ascii="Century Gothic" w:eastAsiaTheme="minorHAnsi" w:hAnsi="Century Gothic"/>
          <w:i/>
          <w:lang w:eastAsia="en-US"/>
        </w:rPr>
      </w:pPr>
      <w:r w:rsidRPr="009B24D1">
        <w:rPr>
          <w:rFonts w:ascii="Century Gothic" w:eastAsiaTheme="minorHAnsi" w:hAnsi="Century Gothic"/>
          <w:i/>
          <w:lang w:eastAsia="en-US"/>
        </w:rPr>
        <w:t>Assim, configurada hipótese de cargos cuja acumulação mostra-se permitida na atividade, não há óbice quanto à pretensão da agravada de recebimento da segunda aposentadoria simultaneamente à primeira, já que a superveniência do direito de cumulação de dois cargos dos profissionais da área de Saúde deu-se antes da aposentadoria compulsória da servidora.</w:t>
      </w:r>
    </w:p>
    <w:p w:rsidR="00B01747" w:rsidRPr="009B24D1" w:rsidRDefault="00B01747" w:rsidP="00B01747">
      <w:pPr>
        <w:autoSpaceDE w:val="0"/>
        <w:autoSpaceDN w:val="0"/>
        <w:adjustRightInd w:val="0"/>
        <w:spacing w:line="360" w:lineRule="auto"/>
        <w:jc w:val="both"/>
        <w:rPr>
          <w:rFonts w:ascii="Century Gothic" w:eastAsiaTheme="minorHAnsi" w:hAnsi="Century Gothic"/>
          <w:i/>
          <w:lang w:eastAsia="en-US"/>
        </w:rPr>
      </w:pPr>
    </w:p>
    <w:p w:rsidR="00B01747" w:rsidRPr="009B24D1" w:rsidRDefault="00B01747" w:rsidP="00B01747">
      <w:pPr>
        <w:autoSpaceDE w:val="0"/>
        <w:autoSpaceDN w:val="0"/>
        <w:adjustRightInd w:val="0"/>
        <w:spacing w:line="360" w:lineRule="auto"/>
        <w:jc w:val="both"/>
        <w:rPr>
          <w:rFonts w:ascii="Century Gothic" w:eastAsiaTheme="minorHAnsi" w:hAnsi="Century Gothic"/>
          <w:i/>
          <w:lang w:eastAsia="en-US"/>
        </w:rPr>
      </w:pPr>
      <w:r w:rsidRPr="009B24D1">
        <w:rPr>
          <w:rFonts w:ascii="Century Gothic" w:eastAsiaTheme="minorHAnsi" w:hAnsi="Century Gothic"/>
          <w:i/>
          <w:lang w:eastAsia="en-US"/>
        </w:rPr>
        <w:t xml:space="preserve">E, este Tribunal, adotando o princípio geral de Direito -, “Tempus </w:t>
      </w:r>
      <w:proofErr w:type="spellStart"/>
      <w:r w:rsidRPr="009B24D1">
        <w:rPr>
          <w:rFonts w:ascii="Century Gothic" w:eastAsiaTheme="minorHAnsi" w:hAnsi="Century Gothic"/>
          <w:i/>
          <w:lang w:eastAsia="en-US"/>
        </w:rPr>
        <w:t>Regit</w:t>
      </w:r>
      <w:proofErr w:type="spellEnd"/>
      <w:r w:rsidRPr="009B24D1">
        <w:rPr>
          <w:rFonts w:ascii="Century Gothic" w:eastAsiaTheme="minorHAnsi" w:hAnsi="Century Gothic"/>
          <w:i/>
          <w:lang w:eastAsia="en-US"/>
        </w:rPr>
        <w:t xml:space="preserve"> </w:t>
      </w:r>
      <w:proofErr w:type="spellStart"/>
      <w:r w:rsidRPr="009B24D1">
        <w:rPr>
          <w:rFonts w:ascii="Century Gothic" w:eastAsiaTheme="minorHAnsi" w:hAnsi="Century Gothic"/>
          <w:i/>
          <w:lang w:eastAsia="en-US"/>
        </w:rPr>
        <w:t>Actum</w:t>
      </w:r>
      <w:proofErr w:type="spellEnd"/>
      <w:r w:rsidRPr="009B24D1">
        <w:rPr>
          <w:rFonts w:ascii="Century Gothic" w:eastAsiaTheme="minorHAnsi" w:hAnsi="Century Gothic"/>
          <w:i/>
          <w:lang w:eastAsia="en-US"/>
        </w:rPr>
        <w:t xml:space="preserve">”, tem entendimento segundo o qual “em questões previdenciárias, aplicam-se as normas vigentes ao tempo da reunião dos requisitos de passagem para a inatividade”. </w:t>
      </w:r>
      <w:proofErr w:type="gramStart"/>
      <w:r w:rsidRPr="009B24D1">
        <w:rPr>
          <w:rFonts w:ascii="Century Gothic" w:eastAsiaTheme="minorHAnsi" w:hAnsi="Century Gothic"/>
          <w:i/>
          <w:lang w:eastAsia="en-US"/>
        </w:rPr>
        <w:t>Cite-se</w:t>
      </w:r>
      <w:proofErr w:type="gramEnd"/>
      <w:r w:rsidRPr="009B24D1">
        <w:rPr>
          <w:rFonts w:ascii="Century Gothic" w:eastAsiaTheme="minorHAnsi" w:hAnsi="Century Gothic"/>
          <w:i/>
          <w:lang w:eastAsia="en-US"/>
        </w:rPr>
        <w:t xml:space="preserve"> os julgados de ambas as Turmas e do Plenário desta Corte:</w:t>
      </w:r>
    </w:p>
    <w:p w:rsidR="00B01747" w:rsidRPr="009B24D1" w:rsidRDefault="00B01747" w:rsidP="00B01747">
      <w:pPr>
        <w:autoSpaceDE w:val="0"/>
        <w:autoSpaceDN w:val="0"/>
        <w:adjustRightInd w:val="0"/>
        <w:spacing w:line="360" w:lineRule="auto"/>
        <w:jc w:val="both"/>
        <w:rPr>
          <w:rFonts w:ascii="Century Gothic" w:eastAsiaTheme="minorHAnsi" w:hAnsi="Century Gothic"/>
          <w:i/>
          <w:lang w:eastAsia="en-US"/>
        </w:rPr>
      </w:pPr>
    </w:p>
    <w:p w:rsidR="00B01747" w:rsidRPr="009B24D1" w:rsidRDefault="00B01747" w:rsidP="00B01747">
      <w:pPr>
        <w:autoSpaceDE w:val="0"/>
        <w:autoSpaceDN w:val="0"/>
        <w:adjustRightInd w:val="0"/>
        <w:spacing w:line="360" w:lineRule="auto"/>
        <w:ind w:left="1416"/>
        <w:jc w:val="both"/>
        <w:rPr>
          <w:rFonts w:ascii="Century Gothic" w:eastAsiaTheme="minorHAnsi" w:hAnsi="Century Gothic"/>
          <w:i/>
          <w:lang w:eastAsia="en-US"/>
        </w:rPr>
      </w:pPr>
      <w:r w:rsidRPr="009B24D1">
        <w:rPr>
          <w:rFonts w:ascii="Century Gothic" w:eastAsiaTheme="minorHAnsi" w:hAnsi="Century Gothic"/>
          <w:i/>
          <w:lang w:eastAsia="en-US"/>
        </w:rPr>
        <w:lastRenderedPageBreak/>
        <w:t xml:space="preserve">“CONSTITUCIONAL. PREVIDENCIÁRIO. ART. 2º E EXPRESSÃO '8º' DO ART. 10, AMBOS DA EMENDA CONSTITUCIONAL N. 41/2003. APOSENTADORIA. TEMPUS REGIT ACTUM. REGIME JURÍDICO. DIREITO ADQUIRIDO: </w:t>
      </w:r>
      <w:proofErr w:type="gramStart"/>
      <w:r w:rsidRPr="009B24D1">
        <w:rPr>
          <w:rFonts w:ascii="Century Gothic" w:eastAsiaTheme="minorHAnsi" w:hAnsi="Century Gothic"/>
          <w:i/>
          <w:lang w:eastAsia="en-US"/>
        </w:rPr>
        <w:t>NÃO-OCORRÊNCIA</w:t>
      </w:r>
      <w:proofErr w:type="gramEnd"/>
      <w:r w:rsidRPr="009B24D1">
        <w:rPr>
          <w:rFonts w:ascii="Century Gothic" w:eastAsiaTheme="minorHAnsi" w:hAnsi="Century Gothic"/>
          <w:i/>
          <w:lang w:eastAsia="en-US"/>
        </w:rPr>
        <w:t xml:space="preserve">. </w:t>
      </w:r>
    </w:p>
    <w:p w:rsidR="00B01747" w:rsidRPr="009B24D1" w:rsidRDefault="00B01747" w:rsidP="00B01747">
      <w:pPr>
        <w:autoSpaceDE w:val="0"/>
        <w:autoSpaceDN w:val="0"/>
        <w:adjustRightInd w:val="0"/>
        <w:spacing w:line="360" w:lineRule="auto"/>
        <w:ind w:left="1416"/>
        <w:jc w:val="both"/>
        <w:rPr>
          <w:rFonts w:ascii="Century Gothic" w:eastAsiaTheme="minorHAnsi" w:hAnsi="Century Gothic"/>
          <w:i/>
          <w:lang w:eastAsia="en-US"/>
        </w:rPr>
      </w:pPr>
      <w:r w:rsidRPr="009B24D1">
        <w:rPr>
          <w:rFonts w:ascii="Century Gothic" w:eastAsiaTheme="minorHAnsi" w:hAnsi="Century Gothic"/>
          <w:i/>
          <w:lang w:eastAsia="en-US"/>
        </w:rPr>
        <w:t xml:space="preserve">1. A aposentadoria é direito constitucional que se adquire e se introduz no patrimônio jurídico do interessado no momento de sua formalização pela entidade competente. 2. Em questões previdenciárias, </w:t>
      </w:r>
      <w:proofErr w:type="spellStart"/>
      <w:r w:rsidRPr="009B24D1">
        <w:rPr>
          <w:rFonts w:ascii="Century Gothic" w:eastAsiaTheme="minorHAnsi" w:hAnsi="Century Gothic"/>
          <w:i/>
          <w:lang w:eastAsia="en-US"/>
        </w:rPr>
        <w:t>aplicamse</w:t>
      </w:r>
      <w:proofErr w:type="spellEnd"/>
      <w:r w:rsidRPr="009B24D1">
        <w:rPr>
          <w:rFonts w:ascii="Century Gothic" w:eastAsiaTheme="minorHAnsi" w:hAnsi="Century Gothic"/>
          <w:i/>
          <w:lang w:eastAsia="en-US"/>
        </w:rPr>
        <w:t xml:space="preserve"> as normas vigentes ao tempo da reunião dos requisitos de passagem para a inatividade. 3. Somente os servidores públicos que preenchiam os requisitos estabelecidos na Emenda Constitucional 20/1998, durante a vigência das normas por ela fixadas, poderiam reclamar a aplicação das normas nela contida, com fundamento no art. 3º da Emenda Constitucional 41/2003. 4. Os servidores públicos, que não tinham completado os requisitos para a aposentadoria quando do advento das novas normas constitucionais, passaram a ser regidos pelo regime previdenciário estatuído na Emenda Constitucional n. 41/2003, posteriormente alterada pela Emenda Constitucional n. 47/2005. 5. </w:t>
      </w:r>
      <w:proofErr w:type="gramStart"/>
      <w:r w:rsidRPr="009B24D1">
        <w:rPr>
          <w:rFonts w:ascii="Century Gothic" w:eastAsiaTheme="minorHAnsi" w:hAnsi="Century Gothic"/>
          <w:i/>
          <w:lang w:eastAsia="en-US"/>
        </w:rPr>
        <w:t>Ação Direta de Inconstitucionalidade julgada improcedente”</w:t>
      </w:r>
      <w:proofErr w:type="gramEnd"/>
      <w:r w:rsidRPr="009B24D1">
        <w:rPr>
          <w:rFonts w:ascii="Century Gothic" w:eastAsiaTheme="minorHAnsi" w:hAnsi="Century Gothic"/>
          <w:i/>
          <w:lang w:eastAsia="en-US"/>
        </w:rPr>
        <w:t xml:space="preserve"> (ADI nº 3.104, Plenário, Rel. Min. </w:t>
      </w:r>
      <w:proofErr w:type="spellStart"/>
      <w:r w:rsidRPr="009B24D1">
        <w:rPr>
          <w:rFonts w:ascii="Century Gothic" w:eastAsiaTheme="minorHAnsi" w:hAnsi="Century Gothic"/>
          <w:i/>
          <w:lang w:eastAsia="en-US"/>
        </w:rPr>
        <w:t>Cármen</w:t>
      </w:r>
      <w:proofErr w:type="spellEnd"/>
      <w:r w:rsidRPr="009B24D1">
        <w:rPr>
          <w:rFonts w:ascii="Century Gothic" w:eastAsiaTheme="minorHAnsi" w:hAnsi="Century Gothic"/>
          <w:i/>
          <w:lang w:eastAsia="en-US"/>
        </w:rPr>
        <w:t xml:space="preserve"> Lúcia, DJ de 9.11.2007).”</w:t>
      </w:r>
    </w:p>
    <w:p w:rsidR="009B24D1" w:rsidRPr="009B24D1" w:rsidRDefault="009B24D1" w:rsidP="00B01747">
      <w:pPr>
        <w:spacing w:line="360" w:lineRule="auto"/>
        <w:jc w:val="both"/>
        <w:rPr>
          <w:rFonts w:ascii="Century Gothic" w:hAnsi="Century Gothic"/>
          <w:color w:val="000000" w:themeColor="text1"/>
        </w:rPr>
      </w:pPr>
    </w:p>
    <w:p w:rsidR="00B01747" w:rsidRPr="009B24D1" w:rsidRDefault="00FF74EE" w:rsidP="00B01747">
      <w:pPr>
        <w:spacing w:line="360" w:lineRule="auto"/>
        <w:jc w:val="both"/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 xml:space="preserve">Diante </w:t>
      </w:r>
      <w:r w:rsidR="00F6794B">
        <w:rPr>
          <w:rFonts w:ascii="Century Gothic" w:hAnsi="Century Gothic"/>
          <w:color w:val="000000" w:themeColor="text1"/>
        </w:rPr>
        <w:t>desses fundamentos</w:t>
      </w:r>
      <w:r>
        <w:rPr>
          <w:rFonts w:ascii="Century Gothic" w:hAnsi="Century Gothic"/>
          <w:color w:val="000000" w:themeColor="text1"/>
        </w:rPr>
        <w:t xml:space="preserve">, </w:t>
      </w:r>
      <w:r w:rsidR="00F6794B">
        <w:rPr>
          <w:rFonts w:ascii="Century Gothic" w:hAnsi="Century Gothic"/>
          <w:color w:val="000000" w:themeColor="text1"/>
        </w:rPr>
        <w:t>recomendo que se adote no âmbito deste RPPS o mesm</w:t>
      </w:r>
      <w:r w:rsidR="009B24D1" w:rsidRPr="009B24D1">
        <w:rPr>
          <w:rFonts w:ascii="Century Gothic" w:hAnsi="Century Gothic"/>
          <w:color w:val="000000" w:themeColor="text1"/>
        </w:rPr>
        <w:t xml:space="preserve">o entendimento </w:t>
      </w:r>
      <w:r w:rsidR="00F6794B">
        <w:rPr>
          <w:rFonts w:ascii="Century Gothic" w:hAnsi="Century Gothic"/>
          <w:color w:val="000000" w:themeColor="text1"/>
        </w:rPr>
        <w:t>adotado pel</w:t>
      </w:r>
      <w:r w:rsidR="009B24D1" w:rsidRPr="009B24D1">
        <w:rPr>
          <w:rFonts w:ascii="Century Gothic" w:hAnsi="Century Gothic"/>
          <w:color w:val="000000" w:themeColor="text1"/>
        </w:rPr>
        <w:t>o Supremo Tribunal Federal</w:t>
      </w:r>
      <w:r w:rsidR="00F6794B">
        <w:rPr>
          <w:rFonts w:ascii="Century Gothic" w:hAnsi="Century Gothic"/>
          <w:color w:val="000000" w:themeColor="text1"/>
        </w:rPr>
        <w:t xml:space="preserve"> no sentido de que é lícita a acumulação de dois cargos ou empregos de</w:t>
      </w:r>
      <w:r w:rsidR="009B24D1" w:rsidRPr="009B24D1">
        <w:rPr>
          <w:rFonts w:ascii="Century Gothic" w:hAnsi="Century Gothic"/>
          <w:color w:val="000000" w:themeColor="text1"/>
        </w:rPr>
        <w:t xml:space="preserve"> profissionais da saúde</w:t>
      </w:r>
      <w:r w:rsidR="00F6794B">
        <w:rPr>
          <w:rFonts w:ascii="Century Gothic" w:hAnsi="Century Gothic"/>
          <w:color w:val="000000" w:themeColor="text1"/>
        </w:rPr>
        <w:t>, assim como a acumulação de duas aposentadorias decorrentes de referidos cargos/empregos, pouco importando se</w:t>
      </w:r>
      <w:r w:rsidR="009B24D1" w:rsidRPr="009B24D1">
        <w:rPr>
          <w:rFonts w:ascii="Century Gothic" w:hAnsi="Century Gothic"/>
          <w:color w:val="000000" w:themeColor="text1"/>
        </w:rPr>
        <w:t xml:space="preserve"> </w:t>
      </w:r>
      <w:r w:rsidR="00F6794B">
        <w:rPr>
          <w:rFonts w:ascii="Century Gothic" w:hAnsi="Century Gothic"/>
          <w:color w:val="000000" w:themeColor="text1"/>
        </w:rPr>
        <w:t>o servidor ingressou</w:t>
      </w:r>
      <w:r w:rsidR="009B24D1" w:rsidRPr="009B24D1">
        <w:rPr>
          <w:rFonts w:ascii="Century Gothic" w:hAnsi="Century Gothic"/>
          <w:color w:val="000000" w:themeColor="text1"/>
        </w:rPr>
        <w:t xml:space="preserve"> no serviço público</w:t>
      </w:r>
      <w:r w:rsidR="00B01747" w:rsidRPr="009B24D1">
        <w:rPr>
          <w:rFonts w:ascii="Century Gothic" w:hAnsi="Century Gothic"/>
          <w:color w:val="000000" w:themeColor="text1"/>
        </w:rPr>
        <w:t xml:space="preserve"> </w:t>
      </w:r>
      <w:r w:rsidR="009B24D1" w:rsidRPr="009B24D1">
        <w:rPr>
          <w:rFonts w:ascii="Century Gothic" w:hAnsi="Century Gothic"/>
          <w:color w:val="000000" w:themeColor="text1"/>
        </w:rPr>
        <w:t xml:space="preserve">antes </w:t>
      </w:r>
      <w:r w:rsidR="00F6794B">
        <w:rPr>
          <w:rFonts w:ascii="Century Gothic" w:hAnsi="Century Gothic"/>
          <w:color w:val="000000" w:themeColor="text1"/>
        </w:rPr>
        <w:t xml:space="preserve">ou depois </w:t>
      </w:r>
      <w:r w:rsidR="009B24D1" w:rsidRPr="009B24D1">
        <w:rPr>
          <w:rFonts w:ascii="Century Gothic" w:hAnsi="Century Gothic"/>
          <w:color w:val="000000" w:themeColor="text1"/>
        </w:rPr>
        <w:t xml:space="preserve">da vigência </w:t>
      </w:r>
      <w:r w:rsidR="00F6794B">
        <w:rPr>
          <w:rFonts w:ascii="Century Gothic" w:hAnsi="Century Gothic"/>
          <w:color w:val="000000" w:themeColor="text1"/>
        </w:rPr>
        <w:t>da Emenda Constitucional 34/200</w:t>
      </w:r>
      <w:bookmarkStart w:id="0" w:name="_GoBack"/>
      <w:bookmarkEnd w:id="0"/>
      <w:r w:rsidR="00B01747" w:rsidRPr="009B24D1">
        <w:rPr>
          <w:rFonts w:ascii="Century Gothic" w:hAnsi="Century Gothic"/>
          <w:color w:val="000000" w:themeColor="text1"/>
        </w:rPr>
        <w:t>.</w:t>
      </w:r>
    </w:p>
    <w:p w:rsidR="00B01747" w:rsidRPr="009B24D1" w:rsidRDefault="00B01747" w:rsidP="00B01747">
      <w:pPr>
        <w:spacing w:line="360" w:lineRule="auto"/>
        <w:ind w:firstLine="900"/>
        <w:jc w:val="both"/>
        <w:rPr>
          <w:rFonts w:ascii="Century Gothic" w:hAnsi="Century Gothic"/>
          <w:color w:val="000000" w:themeColor="text1"/>
        </w:rPr>
      </w:pPr>
    </w:p>
    <w:p w:rsidR="00FF74EE" w:rsidRPr="00741A93" w:rsidRDefault="00FF74EE" w:rsidP="00FF74EE">
      <w:pPr>
        <w:spacing w:line="360" w:lineRule="auto"/>
        <w:jc w:val="both"/>
        <w:rPr>
          <w:rFonts w:ascii="Century Gothic" w:hAnsi="Century Gothic"/>
          <w:color w:val="000000" w:themeColor="text1"/>
        </w:rPr>
      </w:pPr>
      <w:r w:rsidRPr="00741A93">
        <w:rPr>
          <w:rFonts w:ascii="Century Gothic" w:hAnsi="Century Gothic"/>
          <w:color w:val="000000" w:themeColor="text1"/>
        </w:rPr>
        <w:t>Submeto à apreciação superior</w:t>
      </w:r>
      <w:r>
        <w:rPr>
          <w:rFonts w:ascii="Century Gothic" w:hAnsi="Century Gothic"/>
          <w:color w:val="000000" w:themeColor="text1"/>
        </w:rPr>
        <w:t>, para considerações</w:t>
      </w:r>
      <w:r w:rsidRPr="00741A93">
        <w:rPr>
          <w:rFonts w:ascii="Century Gothic" w:hAnsi="Century Gothic"/>
          <w:color w:val="000000" w:themeColor="text1"/>
        </w:rPr>
        <w:t>.</w:t>
      </w:r>
    </w:p>
    <w:p w:rsidR="00FF74EE" w:rsidRPr="00741A93" w:rsidRDefault="00FF74EE" w:rsidP="00FF74EE">
      <w:pPr>
        <w:spacing w:line="360" w:lineRule="auto"/>
        <w:jc w:val="both"/>
        <w:rPr>
          <w:rFonts w:ascii="Century Gothic" w:hAnsi="Century Gothic"/>
          <w:color w:val="000000" w:themeColor="text1"/>
        </w:rPr>
      </w:pPr>
      <w:r w:rsidRPr="00741A93">
        <w:rPr>
          <w:rFonts w:ascii="Century Gothic" w:hAnsi="Century Gothic"/>
          <w:color w:val="000000" w:themeColor="text1"/>
        </w:rPr>
        <w:lastRenderedPageBreak/>
        <w:t xml:space="preserve">Betim, </w:t>
      </w:r>
      <w:r>
        <w:rPr>
          <w:rFonts w:ascii="Century Gothic" w:hAnsi="Century Gothic"/>
          <w:color w:val="000000" w:themeColor="text1"/>
        </w:rPr>
        <w:t>2</w:t>
      </w:r>
      <w:r>
        <w:rPr>
          <w:rFonts w:ascii="Century Gothic" w:hAnsi="Century Gothic"/>
          <w:color w:val="000000" w:themeColor="text1"/>
        </w:rPr>
        <w:t>2</w:t>
      </w:r>
      <w:r w:rsidRPr="00741A93">
        <w:rPr>
          <w:rFonts w:ascii="Century Gothic" w:hAnsi="Century Gothic"/>
          <w:color w:val="000000" w:themeColor="text1"/>
        </w:rPr>
        <w:t xml:space="preserve"> de outubro de 2019.</w:t>
      </w:r>
    </w:p>
    <w:p w:rsidR="00FF74EE" w:rsidRPr="00741A93" w:rsidRDefault="00FF74EE" w:rsidP="00FF74EE">
      <w:pPr>
        <w:spacing w:line="360" w:lineRule="auto"/>
        <w:jc w:val="both"/>
        <w:rPr>
          <w:rFonts w:ascii="Century Gothic" w:hAnsi="Century Gothic"/>
          <w:color w:val="000000" w:themeColor="text1"/>
        </w:rPr>
      </w:pPr>
    </w:p>
    <w:p w:rsidR="00FF74EE" w:rsidRPr="00741A93" w:rsidRDefault="00FF74EE" w:rsidP="00FF74EE">
      <w:pPr>
        <w:jc w:val="center"/>
        <w:rPr>
          <w:rFonts w:ascii="Century Gothic" w:hAnsi="Century Gothic"/>
          <w:b/>
          <w:color w:val="000000" w:themeColor="text1"/>
        </w:rPr>
      </w:pPr>
      <w:r w:rsidRPr="00741A93">
        <w:rPr>
          <w:rFonts w:ascii="Century Gothic" w:hAnsi="Century Gothic"/>
          <w:b/>
          <w:color w:val="000000" w:themeColor="text1"/>
        </w:rPr>
        <w:t>José Geraldo Fernandes Martins</w:t>
      </w:r>
    </w:p>
    <w:p w:rsidR="00FF74EE" w:rsidRPr="00741A93" w:rsidRDefault="00FF74EE" w:rsidP="00FF74EE">
      <w:pPr>
        <w:jc w:val="center"/>
        <w:rPr>
          <w:rFonts w:ascii="Century Gothic" w:hAnsi="Century Gothic"/>
          <w:b/>
          <w:color w:val="000000" w:themeColor="text1"/>
        </w:rPr>
      </w:pPr>
      <w:r w:rsidRPr="00741A93">
        <w:rPr>
          <w:rFonts w:ascii="Century Gothic" w:hAnsi="Century Gothic"/>
          <w:b/>
          <w:color w:val="000000" w:themeColor="text1"/>
        </w:rPr>
        <w:t xml:space="preserve">Advogado Autárquico </w:t>
      </w:r>
    </w:p>
    <w:p w:rsidR="00FF74EE" w:rsidRDefault="00FF74EE" w:rsidP="00FF74EE">
      <w:pPr>
        <w:jc w:val="center"/>
        <w:rPr>
          <w:rFonts w:ascii="Century Gothic" w:hAnsi="Century Gothic"/>
          <w:b/>
          <w:color w:val="000000" w:themeColor="text1"/>
        </w:rPr>
      </w:pPr>
    </w:p>
    <w:p w:rsidR="00FF74EE" w:rsidRPr="00741A93" w:rsidRDefault="00FF74EE" w:rsidP="00FF74EE">
      <w:pPr>
        <w:jc w:val="center"/>
        <w:rPr>
          <w:rFonts w:ascii="Century Gothic" w:hAnsi="Century Gothic"/>
          <w:b/>
          <w:color w:val="000000" w:themeColor="text1"/>
        </w:rPr>
      </w:pPr>
    </w:p>
    <w:p w:rsidR="00FF74EE" w:rsidRPr="00741A93" w:rsidRDefault="00FF74EE" w:rsidP="00FF74EE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Ciente e de acordo com </w:t>
      </w:r>
      <w:r w:rsidRPr="00741A93">
        <w:rPr>
          <w:rFonts w:ascii="Century Gothic" w:hAnsi="Century Gothic"/>
        </w:rPr>
        <w:t>a Nota Técnica nº 0</w:t>
      </w:r>
      <w:r w:rsidR="00F6794B">
        <w:rPr>
          <w:rFonts w:ascii="Century Gothic" w:hAnsi="Century Gothic"/>
        </w:rPr>
        <w:t>1</w:t>
      </w:r>
      <w:r w:rsidRPr="00741A93">
        <w:rPr>
          <w:rFonts w:ascii="Century Gothic" w:hAnsi="Century Gothic"/>
        </w:rPr>
        <w:t xml:space="preserve">/2019. </w:t>
      </w:r>
    </w:p>
    <w:p w:rsidR="00FF74EE" w:rsidRPr="00741A93" w:rsidRDefault="00FF74EE" w:rsidP="00FF74EE">
      <w:pPr>
        <w:rPr>
          <w:rFonts w:ascii="Century Gothic" w:hAnsi="Century Gothic"/>
        </w:rPr>
      </w:pPr>
    </w:p>
    <w:p w:rsidR="00FF74EE" w:rsidRDefault="00FF74EE" w:rsidP="00FF74EE">
      <w:pPr>
        <w:jc w:val="center"/>
        <w:rPr>
          <w:rFonts w:ascii="Century Gothic" w:hAnsi="Century Gothic"/>
          <w:b/>
          <w:color w:val="000000" w:themeColor="text1"/>
        </w:rPr>
      </w:pPr>
    </w:p>
    <w:p w:rsidR="00FF74EE" w:rsidRPr="00741A93" w:rsidRDefault="00FF74EE" w:rsidP="00FF74EE">
      <w:pPr>
        <w:jc w:val="center"/>
        <w:rPr>
          <w:rFonts w:ascii="Century Gothic" w:hAnsi="Century Gothic"/>
          <w:b/>
          <w:color w:val="000000" w:themeColor="text1"/>
        </w:rPr>
      </w:pPr>
      <w:r w:rsidRPr="00741A93">
        <w:rPr>
          <w:rFonts w:ascii="Century Gothic" w:hAnsi="Century Gothic"/>
          <w:b/>
          <w:color w:val="000000" w:themeColor="text1"/>
        </w:rPr>
        <w:t>Rejane Souza Ribeiro</w:t>
      </w:r>
    </w:p>
    <w:p w:rsidR="00FF74EE" w:rsidRPr="00741A93" w:rsidRDefault="00FF74EE" w:rsidP="00FF74EE">
      <w:pPr>
        <w:jc w:val="center"/>
        <w:rPr>
          <w:rFonts w:ascii="Century Gothic" w:hAnsi="Century Gothic"/>
          <w:b/>
          <w:color w:val="000000" w:themeColor="text1"/>
        </w:rPr>
      </w:pPr>
      <w:r w:rsidRPr="00741A93">
        <w:rPr>
          <w:rFonts w:ascii="Century Gothic" w:hAnsi="Century Gothic"/>
          <w:b/>
          <w:color w:val="000000" w:themeColor="text1"/>
        </w:rPr>
        <w:t>Assessora Jurídica</w:t>
      </w:r>
    </w:p>
    <w:p w:rsidR="00FF74EE" w:rsidRPr="00741A93" w:rsidRDefault="00FF74EE" w:rsidP="00FF74EE">
      <w:pPr>
        <w:rPr>
          <w:rFonts w:ascii="Century Gothic" w:hAnsi="Century Gothic"/>
        </w:rPr>
      </w:pPr>
    </w:p>
    <w:p w:rsidR="00FF74EE" w:rsidRDefault="00FF74EE" w:rsidP="00FF74EE">
      <w:pPr>
        <w:jc w:val="both"/>
        <w:rPr>
          <w:rFonts w:ascii="Century Gothic" w:hAnsi="Century Gothic"/>
        </w:rPr>
      </w:pPr>
    </w:p>
    <w:p w:rsidR="00FF74EE" w:rsidRDefault="00FF74EE" w:rsidP="00FF74EE">
      <w:pPr>
        <w:jc w:val="both"/>
        <w:rPr>
          <w:rFonts w:ascii="Century Gothic" w:hAnsi="Century Gothic"/>
        </w:rPr>
      </w:pPr>
      <w:r w:rsidRPr="00741A93">
        <w:rPr>
          <w:rFonts w:ascii="Century Gothic" w:hAnsi="Century Gothic"/>
        </w:rPr>
        <w:t xml:space="preserve">Aprovo a Nota Técnica </w:t>
      </w:r>
      <w:r>
        <w:rPr>
          <w:rFonts w:ascii="Century Gothic" w:hAnsi="Century Gothic"/>
        </w:rPr>
        <w:t xml:space="preserve">Jurídica Previdenciária de </w:t>
      </w:r>
      <w:r w:rsidRPr="00741A93">
        <w:rPr>
          <w:rFonts w:ascii="Century Gothic" w:hAnsi="Century Gothic"/>
        </w:rPr>
        <w:t>nº 0</w:t>
      </w:r>
      <w:r w:rsidR="00F6794B">
        <w:rPr>
          <w:rFonts w:ascii="Century Gothic" w:hAnsi="Century Gothic"/>
        </w:rPr>
        <w:t>1</w:t>
      </w:r>
      <w:r w:rsidRPr="00741A93">
        <w:rPr>
          <w:rFonts w:ascii="Century Gothic" w:hAnsi="Century Gothic"/>
        </w:rPr>
        <w:t>/2019, p</w:t>
      </w:r>
      <w:r>
        <w:rPr>
          <w:rFonts w:ascii="Century Gothic" w:hAnsi="Century Gothic"/>
        </w:rPr>
        <w:t>elos</w:t>
      </w:r>
      <w:r w:rsidRPr="00741A93">
        <w:rPr>
          <w:rFonts w:ascii="Century Gothic" w:hAnsi="Century Gothic"/>
        </w:rPr>
        <w:t xml:space="preserve"> seus próprios fundamentos. </w:t>
      </w:r>
    </w:p>
    <w:p w:rsidR="00FF74EE" w:rsidRDefault="00FF74EE" w:rsidP="00FF74EE">
      <w:pPr>
        <w:jc w:val="both"/>
        <w:rPr>
          <w:rFonts w:ascii="Century Gothic" w:hAnsi="Century Gothic"/>
        </w:rPr>
      </w:pPr>
    </w:p>
    <w:p w:rsidR="00FF74EE" w:rsidRPr="00741A93" w:rsidRDefault="00FF74EE" w:rsidP="00FF74EE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Publique-se e aplique-se.</w:t>
      </w:r>
    </w:p>
    <w:p w:rsidR="00F6794B" w:rsidRDefault="00F6794B" w:rsidP="00FF74EE">
      <w:pPr>
        <w:pStyle w:val="NormalWeb"/>
        <w:shd w:val="clear" w:color="auto" w:fill="FFFFFF"/>
        <w:contextualSpacing/>
        <w:jc w:val="center"/>
        <w:rPr>
          <w:rFonts w:ascii="Century Gothic" w:hAnsi="Century Gothic" w:cs="Tahoma"/>
          <w:b/>
          <w:color w:val="000000" w:themeColor="text1"/>
          <w:spacing w:val="5"/>
        </w:rPr>
      </w:pPr>
    </w:p>
    <w:p w:rsidR="00FF74EE" w:rsidRDefault="00FF74EE" w:rsidP="00FF74EE">
      <w:pPr>
        <w:pStyle w:val="NormalWeb"/>
        <w:shd w:val="clear" w:color="auto" w:fill="FFFFFF"/>
        <w:contextualSpacing/>
        <w:jc w:val="center"/>
        <w:rPr>
          <w:rFonts w:ascii="Century Gothic" w:hAnsi="Century Gothic" w:cs="Tahoma"/>
          <w:b/>
          <w:color w:val="000000" w:themeColor="text1"/>
          <w:spacing w:val="5"/>
        </w:rPr>
      </w:pPr>
      <w:r>
        <w:rPr>
          <w:rFonts w:ascii="Century Gothic" w:hAnsi="Century Gothic" w:cs="Tahoma"/>
          <w:b/>
          <w:color w:val="000000" w:themeColor="text1"/>
          <w:spacing w:val="5"/>
        </w:rPr>
        <w:t>BRUNO FERREIRA CYPRIANO</w:t>
      </w:r>
    </w:p>
    <w:p w:rsidR="00FF74EE" w:rsidRPr="006B1BAD" w:rsidRDefault="00FF74EE" w:rsidP="00FF74EE">
      <w:pPr>
        <w:pStyle w:val="NormalWeb"/>
        <w:shd w:val="clear" w:color="auto" w:fill="FFFFFF"/>
        <w:contextualSpacing/>
        <w:jc w:val="center"/>
        <w:rPr>
          <w:rFonts w:ascii="Century Gothic" w:hAnsi="Century Gothic" w:cs="Tahoma"/>
          <w:b/>
          <w:color w:val="000000" w:themeColor="text1"/>
          <w:spacing w:val="5"/>
        </w:rPr>
      </w:pPr>
      <w:r>
        <w:rPr>
          <w:rFonts w:ascii="Century Gothic" w:hAnsi="Century Gothic" w:cs="Tahoma"/>
          <w:b/>
          <w:color w:val="000000" w:themeColor="text1"/>
          <w:spacing w:val="5"/>
        </w:rPr>
        <w:t>Presidente Interino do IPREMB</w:t>
      </w:r>
    </w:p>
    <w:p w:rsidR="00B66BD3" w:rsidRPr="009B24D1" w:rsidRDefault="00B66BD3" w:rsidP="00FF74EE">
      <w:pPr>
        <w:spacing w:line="360" w:lineRule="auto"/>
        <w:jc w:val="both"/>
        <w:rPr>
          <w:rFonts w:ascii="Century Gothic" w:hAnsi="Century Gothic"/>
        </w:rPr>
      </w:pPr>
    </w:p>
    <w:sectPr w:rsidR="00B66BD3" w:rsidRPr="009B24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BD3" w:rsidRDefault="00B66BD3">
      <w:r>
        <w:separator/>
      </w:r>
    </w:p>
  </w:endnote>
  <w:endnote w:type="continuationSeparator" w:id="0">
    <w:p w:rsidR="00B66BD3" w:rsidRDefault="00B66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BD3" w:rsidRDefault="00B66BD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BD3" w:rsidRDefault="00B66BD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BD3" w:rsidRDefault="00B66BD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BD3" w:rsidRDefault="00B66BD3">
      <w:r>
        <w:separator/>
      </w:r>
    </w:p>
  </w:footnote>
  <w:footnote w:type="continuationSeparator" w:id="0">
    <w:p w:rsidR="00B66BD3" w:rsidRDefault="00B66B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BD3" w:rsidRDefault="00F6794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12766" o:spid="_x0000_s1025" type="#_x0000_t75" style="position:absolute;margin-left:0;margin-top:0;width:578pt;height:818.05pt;z-index:-251657216;mso-position-horizontal:center;mso-position-horizontal-relative:margin;mso-position-vertical:center;mso-position-vertical-relative:margin" o:allowincell="f">
          <v:imagedata r:id="rId1" o:title="TIMBRADO_IPREMB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BD3" w:rsidRDefault="00F6794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12767" o:spid="_x0000_s1026" type="#_x0000_t75" style="position:absolute;margin-left:0;margin-top:0;width:578pt;height:818.05pt;z-index:-251656192;mso-position-horizontal:center;mso-position-horizontal-relative:margin;mso-position-vertical:center;mso-position-vertical-relative:margin" o:allowincell="f">
          <v:imagedata r:id="rId1" o:title="TIMBRADO_IPREMB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BD3" w:rsidRDefault="00F6794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12765" o:spid="_x0000_s1027" type="#_x0000_t75" style="position:absolute;margin-left:0;margin-top:0;width:578pt;height:818.05pt;z-index:-251655168;mso-position-horizontal:center;mso-position-horizontal-relative:margin;mso-position-vertical:center;mso-position-vertical-relative:margin" o:allowincell="f">
          <v:imagedata r:id="rId1" o:title="TIMBRADO_IPREMB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747"/>
    <w:rsid w:val="005C43EA"/>
    <w:rsid w:val="00704E93"/>
    <w:rsid w:val="009B24D1"/>
    <w:rsid w:val="009E4DD3"/>
    <w:rsid w:val="00A467AC"/>
    <w:rsid w:val="00B01747"/>
    <w:rsid w:val="00B66BD3"/>
    <w:rsid w:val="00F6794B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0174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B01747"/>
  </w:style>
  <w:style w:type="paragraph" w:styleId="Rodap">
    <w:name w:val="footer"/>
    <w:basedOn w:val="Normal"/>
    <w:link w:val="RodapChar"/>
    <w:uiPriority w:val="99"/>
    <w:unhideWhenUsed/>
    <w:rsid w:val="00B0174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01747"/>
  </w:style>
  <w:style w:type="paragraph" w:styleId="NormalWeb">
    <w:name w:val="Normal (Web)"/>
    <w:basedOn w:val="Normal"/>
    <w:uiPriority w:val="99"/>
    <w:unhideWhenUsed/>
    <w:rsid w:val="00B0174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0174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B01747"/>
  </w:style>
  <w:style w:type="paragraph" w:styleId="Rodap">
    <w:name w:val="footer"/>
    <w:basedOn w:val="Normal"/>
    <w:link w:val="RodapChar"/>
    <w:uiPriority w:val="99"/>
    <w:unhideWhenUsed/>
    <w:rsid w:val="00B0174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01747"/>
  </w:style>
  <w:style w:type="paragraph" w:styleId="NormalWeb">
    <w:name w:val="Normal (Web)"/>
    <w:basedOn w:val="Normal"/>
    <w:uiPriority w:val="99"/>
    <w:unhideWhenUsed/>
    <w:rsid w:val="00B017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1000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Geraldo Feranades Martins</dc:creator>
  <cp:lastModifiedBy>Jose Geraldo Feranades Martins</cp:lastModifiedBy>
  <cp:revision>5</cp:revision>
  <dcterms:created xsi:type="dcterms:W3CDTF">2019-10-11T18:18:00Z</dcterms:created>
  <dcterms:modified xsi:type="dcterms:W3CDTF">2019-10-22T14:38:00Z</dcterms:modified>
</cp:coreProperties>
</file>